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F" w:rsidRDefault="00DA2D7F" w:rsidP="00DA2D7F"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C769C0">
        <w:rPr>
          <w:rFonts w:ascii="Arial" w:hAnsi="Arial" w:cs="Arial"/>
          <w:b/>
          <w:sz w:val="28"/>
          <w:szCs w:val="28"/>
          <w:lang w:val="de-CH"/>
        </w:rPr>
        <w:t xml:space="preserve">Checkliste zu bestehenden wasserwirtschaftlich relevanten </w:t>
      </w:r>
    </w:p>
    <w:p w:rsidR="00DA2D7F" w:rsidRDefault="00DA2D7F" w:rsidP="00DA2D7F">
      <w:pPr>
        <w:rPr>
          <w:rFonts w:ascii="Arial" w:hAnsi="Arial" w:cs="Arial"/>
          <w:b/>
          <w:sz w:val="28"/>
          <w:szCs w:val="28"/>
          <w:lang w:val="de-CH"/>
        </w:rPr>
      </w:pPr>
      <w:r w:rsidRPr="00C769C0">
        <w:rPr>
          <w:rFonts w:ascii="Arial" w:hAnsi="Arial" w:cs="Arial"/>
          <w:b/>
          <w:sz w:val="28"/>
          <w:szCs w:val="28"/>
          <w:lang w:val="de-CH"/>
        </w:rPr>
        <w:t xml:space="preserve">Planungsaufgaben und </w:t>
      </w:r>
      <w:r>
        <w:rPr>
          <w:rFonts w:ascii="Arial" w:hAnsi="Arial" w:cs="Arial"/>
          <w:b/>
          <w:sz w:val="28"/>
          <w:szCs w:val="28"/>
          <w:lang w:val="de-CH"/>
        </w:rPr>
        <w:t>–</w:t>
      </w:r>
      <w:proofErr w:type="spellStart"/>
      <w:r w:rsidRPr="00C769C0">
        <w:rPr>
          <w:rFonts w:ascii="Arial" w:hAnsi="Arial" w:cs="Arial"/>
          <w:b/>
          <w:sz w:val="28"/>
          <w:szCs w:val="28"/>
          <w:lang w:val="de-CH"/>
        </w:rPr>
        <w:t>instrumenten</w:t>
      </w:r>
      <w:proofErr w:type="spellEnd"/>
    </w:p>
    <w:p w:rsidR="00DA2D7F" w:rsidRDefault="00DA2D7F" w:rsidP="00DA2D7F">
      <w:pPr>
        <w:rPr>
          <w:rFonts w:ascii="Arial Narrow" w:hAnsi="Arial Narrow" w:cs="Arial"/>
          <w:sz w:val="20"/>
          <w:szCs w:val="20"/>
          <w:lang w:val="de-CH"/>
        </w:rPr>
      </w:pPr>
    </w:p>
    <w:p w:rsidR="00DA2D7F" w:rsidRPr="00CE3C50" w:rsidRDefault="00DA2D7F" w:rsidP="00DA2D7F">
      <w:pPr>
        <w:rPr>
          <w:rFonts w:ascii="Arial Narrow" w:hAnsi="Arial Narrow" w:cs="Arial"/>
          <w:sz w:val="20"/>
          <w:szCs w:val="20"/>
          <w:lang w:val="de-CH"/>
        </w:rPr>
      </w:pPr>
      <w:r w:rsidRPr="00CE3C50">
        <w:rPr>
          <w:rFonts w:ascii="Arial Narrow" w:hAnsi="Arial Narrow" w:cs="Arial"/>
          <w:sz w:val="20"/>
          <w:szCs w:val="20"/>
          <w:lang w:val="de-CH"/>
        </w:rPr>
        <w:t>Arbeitsdokument zur BAFU-Publikation Einzugsgebietsmanagement (</w:t>
      </w:r>
      <w:hyperlink r:id="rId5" w:history="1">
        <w:r w:rsidRPr="00CE3C50">
          <w:rPr>
            <w:rStyle w:val="Hyperlink"/>
            <w:rFonts w:ascii="Arial Narrow" w:hAnsi="Arial Narrow" w:cs="Arial"/>
            <w:sz w:val="20"/>
            <w:szCs w:val="20"/>
            <w:lang w:val="de-CH"/>
          </w:rPr>
          <w:t>http://www.bafu.admin.ch/UW-1024-D</w:t>
        </w:r>
      </w:hyperlink>
      <w:r w:rsidRPr="00CE3C50">
        <w:rPr>
          <w:rFonts w:ascii="Arial Narrow" w:hAnsi="Arial Narrow" w:cs="Arial"/>
          <w:sz w:val="20"/>
          <w:szCs w:val="20"/>
          <w:lang w:val="de-CH"/>
        </w:rPr>
        <w:t>)</w:t>
      </w:r>
    </w:p>
    <w:p w:rsidR="00DA2D7F" w:rsidRPr="00CE3C50" w:rsidRDefault="00DA2D7F" w:rsidP="00DA2D7F">
      <w:pPr>
        <w:rPr>
          <w:rFonts w:ascii="Arial Narrow" w:hAnsi="Arial Narrow" w:cs="Arial"/>
          <w:sz w:val="20"/>
          <w:szCs w:val="20"/>
          <w:lang w:val="de-CH"/>
        </w:rPr>
      </w:pPr>
      <w:r w:rsidRPr="00CE3C50">
        <w:rPr>
          <w:rFonts w:ascii="Arial Narrow" w:hAnsi="Arial Narrow" w:cs="Arial"/>
          <w:sz w:val="20"/>
          <w:szCs w:val="20"/>
          <w:lang w:val="de-CH"/>
        </w:rPr>
        <w:t>Stand: März 2012</w:t>
      </w:r>
    </w:p>
    <w:p w:rsidR="00C4041A" w:rsidRDefault="00C4041A" w:rsidP="00F66BD5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4678"/>
        <w:gridCol w:w="1696"/>
      </w:tblGrid>
      <w:tr w:rsidR="00C4041A" w:rsidRPr="00210456" w:rsidTr="003B6739">
        <w:trPr>
          <w:trHeight w:val="306"/>
        </w:trPr>
        <w:tc>
          <w:tcPr>
            <w:tcW w:w="3124" w:type="dxa"/>
            <w:shd w:val="clear" w:color="auto" w:fill="B8CCE4" w:themeFill="accent1" w:themeFillTint="66"/>
          </w:tcPr>
          <w:p w:rsidR="00C4041A" w:rsidRPr="003B6739" w:rsidRDefault="00C4041A" w:rsidP="003B6739">
            <w:pPr>
              <w:pStyle w:val="62TabellentextlinksAltL"/>
              <w:spacing w:before="40" w:after="40"/>
              <w:rPr>
                <w:snapToGrid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:rsidR="00C4041A" w:rsidRPr="003B6739" w:rsidRDefault="00C4041A" w:rsidP="003B6739">
            <w:pPr>
              <w:pStyle w:val="62TabellentextlinksAltL"/>
              <w:spacing w:before="40" w:after="40"/>
              <w:jc w:val="center"/>
              <w:rPr>
                <w:snapToGrid/>
                <w:color w:val="auto"/>
                <w:sz w:val="20"/>
                <w:szCs w:val="20"/>
                <w:lang w:val="de-CH"/>
              </w:rPr>
            </w:pPr>
            <w:r w:rsidRPr="003B6739">
              <w:rPr>
                <w:snapToGrid/>
                <w:color w:val="auto"/>
                <w:sz w:val="20"/>
                <w:szCs w:val="20"/>
                <w:lang w:val="de-CH"/>
              </w:rPr>
              <w:t>Quelle / Website / Publikation / Bemerkung</w:t>
            </w:r>
          </w:p>
        </w:tc>
        <w:tc>
          <w:tcPr>
            <w:tcW w:w="1696" w:type="dxa"/>
            <w:shd w:val="clear" w:color="auto" w:fill="B8CCE4" w:themeFill="accent1" w:themeFillTint="66"/>
            <w:vAlign w:val="center"/>
          </w:tcPr>
          <w:p w:rsidR="00C4041A" w:rsidRPr="003B6739" w:rsidRDefault="00C4041A" w:rsidP="003B6739">
            <w:pPr>
              <w:pStyle w:val="62TabellentextlinksAltL"/>
              <w:spacing w:before="40" w:after="40"/>
              <w:jc w:val="center"/>
              <w:rPr>
                <w:snapToGrid/>
                <w:color w:val="auto"/>
                <w:sz w:val="20"/>
                <w:szCs w:val="20"/>
                <w:lang w:val="de-CH"/>
              </w:rPr>
            </w:pPr>
            <w:r w:rsidRPr="003B6739">
              <w:rPr>
                <w:snapToGrid/>
                <w:color w:val="auto"/>
                <w:sz w:val="20"/>
                <w:szCs w:val="20"/>
                <w:lang w:val="de-CH"/>
              </w:rPr>
              <w:t>Im Einzugsgebiet vorhanden (ja/nein)</w:t>
            </w:r>
          </w:p>
        </w:tc>
      </w:tr>
      <w:tr w:rsidR="00C4041A" w:rsidRPr="00210456" w:rsidTr="003B6739">
        <w:trPr>
          <w:trHeight w:val="204"/>
        </w:trPr>
        <w:tc>
          <w:tcPr>
            <w:tcW w:w="9498" w:type="dxa"/>
            <w:gridSpan w:val="3"/>
            <w:shd w:val="clear" w:color="auto" w:fill="EEECE1" w:themeFill="background2"/>
          </w:tcPr>
          <w:p w:rsidR="00C4041A" w:rsidRPr="003B6739" w:rsidRDefault="00C4041A" w:rsidP="003B6739">
            <w:pPr>
              <w:pStyle w:val="61KleinerTitelinTabelleAltT"/>
              <w:spacing w:before="40"/>
              <w:ind w:left="57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Aus Sicht der Wasserwirtschaft relevante Planungen aufgrund gesetzlicher Grundlage / Richtlinien / Empfehlungen Bund (Auswahl)</w:t>
            </w:r>
          </w:p>
        </w:tc>
      </w:tr>
      <w:tr w:rsidR="00C4041A" w:rsidRPr="00210456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REP Regionaler Entwässerungsplan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6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7 Abs. 3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  <w:proofErr w:type="spellEnd"/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7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4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GSchV</w:t>
              </w:r>
              <w:proofErr w:type="spellEnd"/>
            </w:hyperlink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br/>
            </w:r>
            <w:r w:rsidR="00C4041A" w:rsidRPr="003B6739">
              <w:rPr>
                <w:snapToGrid/>
                <w:sz w:val="20"/>
                <w:szCs w:val="20"/>
                <w:lang w:val="de-CH"/>
              </w:rPr>
              <w:t>Empfehlungen für die Bearbeitung des REP im Rahmen einer ganzheitlichen Gewässerplanung (VSA, 2000)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GEP Genereller Entwässerungsplan (Stufe Gemeinde oder Verband)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8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7 Abs. 3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  <w:proofErr w:type="spellEnd"/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9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5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GSchV</w:t>
              </w:r>
              <w:proofErr w:type="spellEnd"/>
            </w:hyperlink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GEP-Musterpflichtenheft (VSA, 2010)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GHK, GK</w:t>
            </w:r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Gefahrenhinweiskarte, Gefahrenkarte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0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3 Abs. 1 WBG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>,</w:t>
            </w:r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 </w:t>
            </w:r>
            <w:hyperlink r:id="rId11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21 WBV</w:t>
              </w:r>
            </w:hyperlink>
          </w:p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2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BAFU-Webseite Gefahrenkartierung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3B6739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GWP </w:t>
            </w:r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Genereller Wasserversorgungsplan</w:t>
            </w:r>
          </w:p>
        </w:tc>
        <w:tc>
          <w:tcPr>
            <w:tcW w:w="4678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Kantonale Gesetze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Kantonale Richtpläne, Konzepte und Sachpläne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13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6-12 RPG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Kommunale Richt- und Nutzungsplanung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4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14ff RPF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DA2D7F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Sachpläne und Konzepte des Bundes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5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13 RPG</w:t>
              </w:r>
            </w:hyperlink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z.B. </w:t>
            </w:r>
            <w:hyperlink r:id="rId16" w:history="1">
              <w:proofErr w:type="spellStart"/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Sachplan</w:t>
              </w:r>
              <w:proofErr w:type="spellEnd"/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 Fruchtfolgeflächen</w:t>
              </w:r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 oder </w:t>
            </w:r>
            <w:hyperlink r:id="rId17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Landschaftskonzept Schweiz</w:t>
              </w:r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; </w:t>
            </w:r>
            <w:hyperlink r:id="rId18" w:history="1"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weitere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Schutz- und Nutzungsplanung</w:t>
            </w:r>
          </w:p>
        </w:tc>
        <w:tc>
          <w:tcPr>
            <w:tcW w:w="4678" w:type="dxa"/>
          </w:tcPr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r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fldChar w:fldCharType="begin"/>
            </w:r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instrText>HYPERLINK "http://www.admin.ch/ch/d/sr/814_20/a32.html"</w:instrText>
            </w:r>
            <w:r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fldChar w:fldCharType="separate"/>
            </w:r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Art 32 </w:t>
            </w:r>
            <w:proofErr w:type="spellStart"/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>GSchG</w:t>
            </w:r>
            <w:proofErr w:type="spellEnd"/>
          </w:p>
          <w:p w:rsidR="00C4041A" w:rsidRPr="003B6739" w:rsidRDefault="002B0E7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fldChar w:fldCharType="end"/>
            </w:r>
            <w:hyperlink r:id="rId19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Schutz- und Nutzungsplanung nach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  <w:proofErr w:type="spellEnd"/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 (BAFU, 2009)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Sicherung Gewässerraumbedarf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20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36a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  <w:proofErr w:type="spellEnd"/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Strategische Planungen zu Revitalisierung, </w:t>
            </w:r>
            <w:r w:rsidRPr="003B6739">
              <w:rPr>
                <w:snapToGrid/>
                <w:sz w:val="20"/>
                <w:szCs w:val="20"/>
                <w:lang w:val="de-CH"/>
              </w:rPr>
              <w:br/>
              <w:t xml:space="preserve">Schwall-/ </w:t>
            </w:r>
            <w:proofErr w:type="spellStart"/>
            <w:r w:rsidRPr="003B6739">
              <w:rPr>
                <w:snapToGrid/>
                <w:sz w:val="20"/>
                <w:szCs w:val="20"/>
                <w:lang w:val="de-CH"/>
              </w:rPr>
              <w:t>Sunksanierung</w:t>
            </w:r>
            <w:proofErr w:type="spellEnd"/>
            <w:r w:rsidRPr="003B6739">
              <w:rPr>
                <w:snapToGrid/>
                <w:sz w:val="20"/>
                <w:szCs w:val="20"/>
                <w:lang w:val="de-CH"/>
              </w:rPr>
              <w:t>, Geschiebehaushalt und Fischwanderung</w:t>
            </w:r>
          </w:p>
        </w:tc>
        <w:tc>
          <w:tcPr>
            <w:tcW w:w="4678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Art. 38a, 83b </w:t>
            </w:r>
            <w:hyperlink r:id="rId21" w:history="1">
              <w:proofErr w:type="spellStart"/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  <w:proofErr w:type="spellEnd"/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 </w:t>
            </w:r>
          </w:p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Art. 41d, 41f, 42b </w:t>
            </w:r>
            <w:hyperlink r:id="rId22" w:history="1">
              <w:proofErr w:type="spellStart"/>
              <w:r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GSchV</w:t>
              </w:r>
              <w:proofErr w:type="spellEnd"/>
            </w:hyperlink>
            <w:r w:rsidRPr="003B6739">
              <w:rPr>
                <w:snapToGrid/>
                <w:sz w:val="20"/>
                <w:szCs w:val="20"/>
                <w:lang w:val="de-CH"/>
              </w:rPr>
              <w:t xml:space="preserve"> </w:t>
            </w:r>
          </w:p>
          <w:p w:rsidR="00C4041A" w:rsidRPr="003B6739" w:rsidRDefault="00210456" w:rsidP="009C3942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23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9b VBGF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Planerischer Grundwasserschutz - Gewässerschutzkarten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4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19ff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GSchG</w:t>
              </w:r>
              <w:proofErr w:type="spellEnd"/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25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30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GSchV</w:t>
              </w:r>
              <w:proofErr w:type="spellEnd"/>
            </w:hyperlink>
          </w:p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6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Planerischer Grundwasserschutz</w:t>
              </w:r>
            </w:hyperlink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 (BAFU-Webseite) </w:t>
            </w:r>
          </w:p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7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Wegleitung Grundwasserschutz</w:t>
              </w:r>
            </w:hyperlink>
            <w:r w:rsidR="00C4041A" w:rsidRPr="003B6739"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  <w:t xml:space="preserve"> </w:t>
            </w:r>
          </w:p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28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Management des Grundwassers in der Schweiz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 Leitlinien des Bundesamtes für Umwelt (BAFU, 2008)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 xml:space="preserve"> </w:t>
            </w:r>
          </w:p>
        </w:tc>
      </w:tr>
      <w:tr w:rsidR="00C4041A" w:rsidRPr="003B6739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Landwirtschaftliche Planung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29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Wegleitung Landwirtschaftliche Planung</w:t>
              </w:r>
            </w:hyperlink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3124" w:type="dxa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Gesamtmeliorationen, Landumlegung</w:t>
            </w:r>
          </w:p>
        </w:tc>
        <w:tc>
          <w:tcPr>
            <w:tcW w:w="4678" w:type="dxa"/>
          </w:tcPr>
          <w:p w:rsidR="00C4041A" w:rsidRPr="003B6739" w:rsidRDefault="00210456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  <w:hyperlink r:id="rId30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 xml:space="preserve">Art. 100 </w:t>
              </w:r>
              <w:proofErr w:type="spellStart"/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LwG</w:t>
              </w:r>
              <w:proofErr w:type="spellEnd"/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</w:t>
            </w:r>
            <w:hyperlink r:id="rId31" w:history="1">
              <w:r w:rsidR="00C4041A" w:rsidRPr="003B6739">
                <w:rPr>
                  <w:snapToGrid/>
                  <w:color w:val="0000FF"/>
                  <w:sz w:val="20"/>
                  <w:szCs w:val="20"/>
                  <w:u w:val="single"/>
                  <w:lang w:val="de-CH"/>
                </w:rPr>
                <w:t>Art. 11 SVV</w:t>
              </w:r>
            </w:hyperlink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; Umsetzungsinstrument aufgrund </w:t>
            </w:r>
            <w:proofErr w:type="spellStart"/>
            <w:r w:rsidR="00C4041A" w:rsidRPr="003B6739">
              <w:rPr>
                <w:snapToGrid/>
                <w:sz w:val="20"/>
                <w:szCs w:val="20"/>
                <w:lang w:val="de-CH"/>
              </w:rPr>
              <w:t>LwG</w:t>
            </w:r>
            <w:proofErr w:type="spellEnd"/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, WBG, </w:t>
            </w:r>
            <w:proofErr w:type="spellStart"/>
            <w:r w:rsidR="00C4041A" w:rsidRPr="003B6739">
              <w:rPr>
                <w:snapToGrid/>
                <w:sz w:val="20"/>
                <w:szCs w:val="20"/>
                <w:lang w:val="de-CH"/>
              </w:rPr>
              <w:t>GSchG</w:t>
            </w:r>
            <w:proofErr w:type="spellEnd"/>
            <w:r w:rsidR="00C4041A" w:rsidRPr="003B6739">
              <w:rPr>
                <w:snapToGrid/>
                <w:sz w:val="20"/>
                <w:szCs w:val="20"/>
                <w:lang w:val="de-CH"/>
              </w:rPr>
              <w:t xml:space="preserve"> und kantonalen Ausführungsgesetzen</w:t>
            </w:r>
          </w:p>
        </w:tc>
        <w:tc>
          <w:tcPr>
            <w:tcW w:w="1696" w:type="dxa"/>
          </w:tcPr>
          <w:p w:rsidR="00C4041A" w:rsidRPr="003B6739" w:rsidRDefault="00C4041A" w:rsidP="003B6739">
            <w:pPr>
              <w:pStyle w:val="63TabellenzahlenrechtsAltR"/>
              <w:spacing w:before="60"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9498" w:type="dxa"/>
            <w:gridSpan w:val="3"/>
            <w:shd w:val="clear" w:color="auto" w:fill="EEECE1" w:themeFill="background2"/>
          </w:tcPr>
          <w:p w:rsidR="00C4041A" w:rsidRPr="003B6739" w:rsidRDefault="00C4041A" w:rsidP="003B6739">
            <w:pPr>
              <w:pStyle w:val="61KleinerTitelinTabelleAltT"/>
              <w:spacing w:before="60" w:after="0"/>
              <w:ind w:left="57"/>
              <w:rPr>
                <w:snapToGrid/>
                <w:color w:val="0000FF"/>
                <w:sz w:val="20"/>
                <w:szCs w:val="20"/>
                <w:u w:val="single"/>
                <w:lang w:val="de-CH" w:eastAsia="en-US"/>
              </w:rPr>
            </w:pPr>
            <w:r w:rsidRPr="003B6739">
              <w:rPr>
                <w:snapToGrid/>
                <w:sz w:val="20"/>
                <w:szCs w:val="20"/>
                <w:lang w:val="de-CH"/>
              </w:rPr>
              <w:t>Weitere kantonale / regionale Planungen und Instrumente</w:t>
            </w:r>
          </w:p>
        </w:tc>
      </w:tr>
      <w:tr w:rsidR="00C4041A" w:rsidRPr="00210456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C4041A" w:rsidRPr="00210456" w:rsidTr="003B6739">
        <w:trPr>
          <w:trHeight w:val="204"/>
        </w:trPr>
        <w:tc>
          <w:tcPr>
            <w:tcW w:w="9498" w:type="dxa"/>
            <w:gridSpan w:val="3"/>
          </w:tcPr>
          <w:p w:rsidR="00C4041A" w:rsidRPr="003B6739" w:rsidRDefault="00C4041A" w:rsidP="003B6739">
            <w:pPr>
              <w:pStyle w:val="62TabellentextlinksAltL"/>
              <w:spacing w:before="60"/>
              <w:rPr>
                <w:snapToGrid/>
                <w:sz w:val="20"/>
                <w:szCs w:val="20"/>
                <w:lang w:val="de-CH"/>
              </w:rPr>
            </w:pPr>
          </w:p>
        </w:tc>
      </w:tr>
    </w:tbl>
    <w:p w:rsidR="00C4041A" w:rsidRDefault="00C4041A" w:rsidP="00F66BD5">
      <w:pPr>
        <w:rPr>
          <w:rFonts w:ascii="Arial" w:hAnsi="Arial" w:cs="Arial"/>
          <w:b/>
          <w:sz w:val="28"/>
          <w:szCs w:val="28"/>
          <w:lang w:val="de-CH"/>
        </w:rPr>
      </w:pPr>
    </w:p>
    <w:p w:rsidR="00C4041A" w:rsidRDefault="00C4041A" w:rsidP="00F66BD5">
      <w:pPr>
        <w:rPr>
          <w:rFonts w:ascii="Arial" w:hAnsi="Arial" w:cs="Arial"/>
          <w:b/>
          <w:sz w:val="28"/>
          <w:szCs w:val="28"/>
          <w:lang w:val="de-CH"/>
        </w:rPr>
      </w:pPr>
    </w:p>
    <w:p w:rsidR="00C769C0" w:rsidRPr="00C769C0" w:rsidRDefault="00C769C0" w:rsidP="00F66BD5">
      <w:pPr>
        <w:rPr>
          <w:lang w:val="de-CH"/>
        </w:rPr>
      </w:pPr>
    </w:p>
    <w:p w:rsidR="00F15A56" w:rsidRPr="009C3942" w:rsidRDefault="00F15A56" w:rsidP="00F66BD5">
      <w:pPr>
        <w:rPr>
          <w:lang w:val="de-CH"/>
        </w:rPr>
      </w:pPr>
    </w:p>
    <w:p w:rsidR="00204C2E" w:rsidRPr="009C3942" w:rsidRDefault="00204C2E" w:rsidP="00F66BD5">
      <w:pPr>
        <w:rPr>
          <w:lang w:val="de-CH"/>
        </w:rPr>
      </w:pPr>
    </w:p>
    <w:sectPr w:rsidR="00204C2E" w:rsidRPr="009C3942" w:rsidSect="00DD6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6"/>
    <w:rsid w:val="00204C2E"/>
    <w:rsid w:val="00210456"/>
    <w:rsid w:val="00216520"/>
    <w:rsid w:val="002B0E7A"/>
    <w:rsid w:val="002B6B5F"/>
    <w:rsid w:val="003B6739"/>
    <w:rsid w:val="004D3A22"/>
    <w:rsid w:val="00502B1F"/>
    <w:rsid w:val="00613C2F"/>
    <w:rsid w:val="00711DCE"/>
    <w:rsid w:val="00724DC5"/>
    <w:rsid w:val="00737BC5"/>
    <w:rsid w:val="00744682"/>
    <w:rsid w:val="009010F5"/>
    <w:rsid w:val="009608C0"/>
    <w:rsid w:val="009C3942"/>
    <w:rsid w:val="00B03A6C"/>
    <w:rsid w:val="00B84026"/>
    <w:rsid w:val="00BD4557"/>
    <w:rsid w:val="00BF6347"/>
    <w:rsid w:val="00C4041A"/>
    <w:rsid w:val="00C740D1"/>
    <w:rsid w:val="00C769C0"/>
    <w:rsid w:val="00DA2D7F"/>
    <w:rsid w:val="00DD6906"/>
    <w:rsid w:val="00E43D02"/>
    <w:rsid w:val="00F10BBB"/>
    <w:rsid w:val="00F15A56"/>
    <w:rsid w:val="00F66BD5"/>
    <w:rsid w:val="00FB2AE1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ED6493-FC37-462B-9AEC-AE218EF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F15A56"/>
    <w:pPr>
      <w:spacing w:after="0" w:line="260" w:lineRule="exact"/>
    </w:pPr>
    <w:rPr>
      <w:rFonts w:ascii="Times New Roman" w:eastAsia="Batang" w:hAnsi="Times New Roman" w:cs="Times New Roman"/>
      <w:snapToGrid w:val="0"/>
      <w:color w:val="000000"/>
      <w:sz w:val="21"/>
      <w:lang w:val="fr-FR"/>
    </w:rPr>
  </w:style>
  <w:style w:type="paragraph" w:styleId="Heading1">
    <w:name w:val="heading 1"/>
    <w:basedOn w:val="Normal"/>
    <w:next w:val="Normal"/>
    <w:link w:val="Heading1Char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snapToGrid/>
      <w:color w:val="auto"/>
      <w:sz w:val="36"/>
      <w:szCs w:val="28"/>
      <w:lang w:val="de-CH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snapToGrid/>
      <w:color w:val="auto"/>
      <w:sz w:val="30"/>
      <w:szCs w:val="26"/>
      <w:lang w:val="de-CH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snapToGrid/>
      <w:color w:val="auto"/>
      <w:sz w:val="24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eastAsia="Times New Roman" w:hAnsi="Arial"/>
      <w:b/>
      <w:bCs/>
      <w:snapToGrid/>
      <w:color w:val="auto"/>
      <w:sz w:val="22"/>
      <w:szCs w:val="28"/>
      <w:lang w:val="de-CH" w:eastAsia="de-DE"/>
    </w:rPr>
  </w:style>
  <w:style w:type="paragraph" w:styleId="Heading5">
    <w:name w:val="heading 5"/>
    <w:basedOn w:val="Normal"/>
    <w:next w:val="Normal"/>
    <w:link w:val="Heading5Char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eastAsia="Times New Roman" w:hAnsi="Arial"/>
      <w:b/>
      <w:bCs/>
      <w:i/>
      <w:iCs/>
      <w:snapToGrid/>
      <w:color w:val="auto"/>
      <w:sz w:val="22"/>
      <w:szCs w:val="26"/>
      <w:lang w:val="de-CH" w:eastAsia="de-DE"/>
    </w:rPr>
  </w:style>
  <w:style w:type="paragraph" w:styleId="Heading6">
    <w:name w:val="heading 6"/>
    <w:basedOn w:val="Normal"/>
    <w:next w:val="Normal"/>
    <w:link w:val="Heading6Char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eastAsia="Times New Roman" w:hAnsi="Arial"/>
      <w:bCs/>
      <w:snapToGrid/>
      <w:color w:val="auto"/>
      <w:sz w:val="22"/>
      <w:szCs w:val="20"/>
      <w:lang w:val="de-CH" w:eastAsia="de-DE"/>
    </w:rPr>
  </w:style>
  <w:style w:type="paragraph" w:styleId="Heading7">
    <w:name w:val="heading 7"/>
    <w:basedOn w:val="Normal"/>
    <w:next w:val="Normal"/>
    <w:link w:val="Heading7Char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eastAsia="Times New Roman" w:hAnsi="Arial"/>
      <w:i/>
      <w:snapToGrid/>
      <w:color w:val="auto"/>
      <w:sz w:val="22"/>
      <w:szCs w:val="24"/>
      <w:lang w:val="de-CH" w:eastAsia="de-DE"/>
    </w:rPr>
  </w:style>
  <w:style w:type="paragraph" w:styleId="Heading8">
    <w:name w:val="heading 8"/>
    <w:basedOn w:val="Normal"/>
    <w:next w:val="Normal"/>
    <w:link w:val="Heading8Char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eastAsia="Times New Roman" w:hAnsi="Arial"/>
      <w:iCs/>
      <w:snapToGrid/>
      <w:color w:val="auto"/>
      <w:sz w:val="20"/>
      <w:szCs w:val="24"/>
      <w:lang w:val="de-CH" w:eastAsia="de-DE"/>
    </w:rPr>
  </w:style>
  <w:style w:type="paragraph" w:styleId="Heading9">
    <w:name w:val="heading 9"/>
    <w:basedOn w:val="Normal"/>
    <w:next w:val="Normal"/>
    <w:link w:val="Heading9Char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eastAsia="Times New Roman" w:hAnsi="Arial" w:cs="Arial"/>
      <w:i/>
      <w:snapToGrid/>
      <w:color w:val="auto"/>
      <w:sz w:val="20"/>
      <w:szCs w:val="2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assifizierung">
    <w:name w:val="Klassifizierung"/>
    <w:basedOn w:val="Normal"/>
    <w:rsid w:val="00216520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16520"/>
    <w:pPr>
      <w:widowControl w:val="0"/>
      <w:suppressAutoHyphens/>
      <w:spacing w:line="200" w:lineRule="atLeast"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Header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rsid w:val="00216520"/>
    <w:rPr>
      <w:b/>
    </w:rPr>
  </w:style>
  <w:style w:type="paragraph" w:customStyle="1" w:styleId="Platzhalter">
    <w:name w:val="Platzhalter"/>
    <w:basedOn w:val="Normal"/>
    <w:next w:val="Normal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rsid w:val="00216520"/>
    <w:pPr>
      <w:widowControl w:val="0"/>
      <w:suppressAutoHyphens/>
      <w:spacing w:line="260" w:lineRule="atLeast"/>
      <w:contextualSpacing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table" w:styleId="TableGrid">
    <w:name w:val="Table Grid"/>
    <w:basedOn w:val="TableNormal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6520"/>
    <w:pPr>
      <w:widowControl w:val="0"/>
      <w:spacing w:line="260" w:lineRule="atLeast"/>
    </w:pPr>
    <w:rPr>
      <w:rFonts w:ascii="Arial" w:eastAsiaTheme="majorEastAsia" w:hAnsi="Arial" w:cstheme="majorBidi"/>
      <w:b/>
      <w:snapToGrid/>
      <w:color w:val="auto"/>
      <w:sz w:val="42"/>
      <w:szCs w:val="5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ascii="Arial" w:eastAsiaTheme="majorEastAsia" w:hAnsi="Arial" w:cstheme="majorBidi"/>
      <w:iCs/>
      <w:snapToGrid/>
      <w:color w:val="auto"/>
      <w:sz w:val="42"/>
      <w:szCs w:val="24"/>
      <w:lang w:val="de-CH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ascii="Arial" w:eastAsiaTheme="minorHAnsi" w:hAnsi="Arial" w:cstheme="minorBidi"/>
      <w:b/>
      <w:snapToGrid/>
      <w:color w:val="auto"/>
      <w:sz w:val="24"/>
      <w:szCs w:val="20"/>
      <w:lang w:val="de-CH" w:eastAsia="en-US"/>
    </w:rPr>
  </w:style>
  <w:style w:type="paragraph" w:styleId="TOC2">
    <w:name w:val="toc 2"/>
    <w:basedOn w:val="Normal"/>
    <w:next w:val="Normal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ascii="Arial" w:eastAsiaTheme="minorHAnsi" w:hAnsi="Arial" w:cstheme="minorBidi"/>
      <w:b/>
      <w:snapToGrid/>
      <w:color w:val="auto"/>
      <w:sz w:val="22"/>
      <w:szCs w:val="20"/>
      <w:lang w:val="de-CH" w:eastAsia="en-US"/>
    </w:rPr>
  </w:style>
  <w:style w:type="paragraph" w:styleId="TOC3">
    <w:name w:val="toc 3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4">
    <w:name w:val="toc 4"/>
    <w:basedOn w:val="Normal"/>
    <w:next w:val="Normal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5">
    <w:name w:val="toc 5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6">
    <w:name w:val="toc 6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7">
    <w:name w:val="toc 7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8">
    <w:name w:val="toc 8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styleId="TOC9">
    <w:name w:val="toc 9"/>
    <w:basedOn w:val="Normal"/>
    <w:next w:val="Normal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customStyle="1" w:styleId="Verzeichnistitel">
    <w:name w:val="Verzeichnistitel"/>
    <w:basedOn w:val="Normal"/>
    <w:next w:val="Normal"/>
    <w:qFormat/>
    <w:rsid w:val="00216520"/>
    <w:pPr>
      <w:widowControl w:val="0"/>
      <w:spacing w:before="260" w:after="180" w:line="260" w:lineRule="atLeast"/>
    </w:pPr>
    <w:rPr>
      <w:rFonts w:ascii="Arial" w:eastAsiaTheme="minorHAnsi" w:hAnsi="Arial" w:cstheme="minorBidi"/>
      <w:b/>
      <w:snapToGrid/>
      <w:color w:val="auto"/>
      <w:sz w:val="30"/>
      <w:lang w:val="de-CH" w:eastAsia="en-US"/>
    </w:rPr>
  </w:style>
  <w:style w:type="paragraph" w:customStyle="1" w:styleId="63TabellenzahlenrechtsAltR">
    <w:name w:val="63: Tabellenzahlen rechts (Alt+R)"/>
    <w:basedOn w:val="62TabellentextlinksAltL"/>
    <w:rsid w:val="00F15A56"/>
    <w:pPr>
      <w:jc w:val="right"/>
    </w:pPr>
  </w:style>
  <w:style w:type="paragraph" w:customStyle="1" w:styleId="61KleinerTitelinTabelleAltT">
    <w:name w:val="61: Kleiner Titel in Tabelle (Alt+T)"/>
    <w:basedOn w:val="62TabellentextlinksAltL"/>
    <w:rsid w:val="00F15A56"/>
    <w:pPr>
      <w:keepLines/>
      <w:spacing w:before="200" w:after="40"/>
      <w:ind w:left="0"/>
    </w:pPr>
    <w:rPr>
      <w:b/>
    </w:rPr>
  </w:style>
  <w:style w:type="paragraph" w:customStyle="1" w:styleId="62TabellentextlinksAltL">
    <w:name w:val="62: Tabellentext links (Alt+L)"/>
    <w:basedOn w:val="Normal"/>
    <w:rsid w:val="00F15A56"/>
    <w:pPr>
      <w:keepNext/>
      <w:spacing w:line="200" w:lineRule="exact"/>
      <w:ind w:left="57" w:right="57"/>
    </w:pPr>
    <w:rPr>
      <w:rFonts w:ascii="Arial Narrow" w:hAnsi="Arial Narrow"/>
      <w:spacing w:val="2"/>
      <w:sz w:val="16"/>
      <w:szCs w:val="15"/>
      <w:u w:color="000000"/>
    </w:rPr>
  </w:style>
  <w:style w:type="character" w:styleId="Hyperlink">
    <w:name w:val="Hyperlink"/>
    <w:basedOn w:val="DefaultParagraphFont"/>
    <w:uiPriority w:val="99"/>
    <w:unhideWhenUsed/>
    <w:rsid w:val="00DA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14_20/a7.html" TargetMode="External"/><Relationship Id="rId13" Type="http://schemas.openxmlformats.org/officeDocument/2006/relationships/hyperlink" Target="http://www.admin.ch/ch/d/sr/c700.html" TargetMode="External"/><Relationship Id="rId18" Type="http://schemas.openxmlformats.org/officeDocument/2006/relationships/hyperlink" Target="http://www.are.admin.ch/themen/raumplanung/00232/00351/index.html?lang=de" TargetMode="External"/><Relationship Id="rId26" Type="http://schemas.openxmlformats.org/officeDocument/2006/relationships/hyperlink" Target="http://www.bafu.admin.ch/grundwasser/07483/07485/index.html?lang=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.ch/ch/d/sr/c814_20.html" TargetMode="External"/><Relationship Id="rId7" Type="http://schemas.openxmlformats.org/officeDocument/2006/relationships/hyperlink" Target="http://www.admin.ch/ch/d/sr/814_201/a4.html" TargetMode="External"/><Relationship Id="rId12" Type="http://schemas.openxmlformats.org/officeDocument/2006/relationships/hyperlink" Target="http://www.bafu.admin.ch/naturgefahren/11421/index.html?lang=de" TargetMode="External"/><Relationship Id="rId17" Type="http://schemas.openxmlformats.org/officeDocument/2006/relationships/hyperlink" Target="http://www.bafu.admin.ch/landschaft/00524/01671/02393/index.html?lang=de" TargetMode="External"/><Relationship Id="rId25" Type="http://schemas.openxmlformats.org/officeDocument/2006/relationships/hyperlink" Target="http://www.admin.ch/ch/d/sr/814_201/a30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e.admin.ch/themen/raumplanung/00244/02186/02189/index.html?lang=de" TargetMode="External"/><Relationship Id="rId20" Type="http://schemas.openxmlformats.org/officeDocument/2006/relationships/hyperlink" Target="http://www.admin.ch/ch/d/sr/814_20/a36a.html" TargetMode="External"/><Relationship Id="rId29" Type="http://schemas.openxmlformats.org/officeDocument/2006/relationships/hyperlink" Target="http://www.blw.admin.ch/themen/00006/00056/index.html?download.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.ch/ch/d/sr/814_20/a7.html" TargetMode="External"/><Relationship Id="rId11" Type="http://schemas.openxmlformats.org/officeDocument/2006/relationships/hyperlink" Target="http://www.admin.ch/ch/d/sr/721_100_1/a21.html" TargetMode="External"/><Relationship Id="rId24" Type="http://schemas.openxmlformats.org/officeDocument/2006/relationships/hyperlink" Target="http://www.admin.ch/ch/d/sr/c814_20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afu.admin.ch/UW-1024-D" TargetMode="External"/><Relationship Id="rId15" Type="http://schemas.openxmlformats.org/officeDocument/2006/relationships/hyperlink" Target="http://www.admin.ch/ch/d/sr/c700.html" TargetMode="External"/><Relationship Id="rId23" Type="http://schemas.openxmlformats.org/officeDocument/2006/relationships/hyperlink" Target="http://www.admin.ch/ch/d/sr/923_01/a9b.html" TargetMode="External"/><Relationship Id="rId28" Type="http://schemas.openxmlformats.org/officeDocument/2006/relationships/hyperlink" Target="http://www.bafu.admin.ch/publikationen/publikation/00086/index.html?lang=de" TargetMode="External"/><Relationship Id="rId10" Type="http://schemas.openxmlformats.org/officeDocument/2006/relationships/hyperlink" Target="http://www.admin.ch/ch/d/sr/721_100/a3.html" TargetMode="External"/><Relationship Id="rId19" Type="http://schemas.openxmlformats.org/officeDocument/2006/relationships/hyperlink" Target="http://www.bafu.admin.ch/publikationen/publikation/01071/index.html?" TargetMode="External"/><Relationship Id="rId31" Type="http://schemas.openxmlformats.org/officeDocument/2006/relationships/hyperlink" Target="http://www.admin.ch/ch/d/sr/913_1/a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d/sr/814_201/a5.html" TargetMode="External"/><Relationship Id="rId14" Type="http://schemas.openxmlformats.org/officeDocument/2006/relationships/hyperlink" Target="http://www.admin.ch/ch/d/sr/700/index.html" TargetMode="External"/><Relationship Id="rId22" Type="http://schemas.openxmlformats.org/officeDocument/2006/relationships/hyperlink" Target="http://www.admin.ch/ch/d/sr/814_201/" TargetMode="External"/><Relationship Id="rId27" Type="http://schemas.openxmlformats.org/officeDocument/2006/relationships/hyperlink" Target="http://www.bafu.admin.ch/publikationen/publikation/00378/index.html?lang=de" TargetMode="External"/><Relationship Id="rId30" Type="http://schemas.openxmlformats.org/officeDocument/2006/relationships/hyperlink" Target="http://www.admin.ch/ch/d/sr/910_1/a1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Dazio</dc:creator>
  <cp:lastModifiedBy>Zollinger, Yvonne</cp:lastModifiedBy>
  <cp:revision>2</cp:revision>
  <dcterms:created xsi:type="dcterms:W3CDTF">2018-10-16T13:56:00Z</dcterms:created>
  <dcterms:modified xsi:type="dcterms:W3CDTF">2018-10-16T13:56:00Z</dcterms:modified>
</cp:coreProperties>
</file>